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88502ca43fa4e3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Kyushu–Taiwan Visionary Institute Continues Cross-Border Partnership, Launches Second Youth Practice Program with Artificial Innovative Intelligence College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Building on the successful cross-border collaboration of the “Japan–Taiwan Co-Creation Workshop” held in March, Representative Director Naoki Kumamoto of the Kyushu–Taiwan Visionary Institute (KTVI) visited Tamkang University again on April 9. He held discussions with Dean Tzung-Hang Lee of the College of Engineering, the College of Artificial Innovative Intelligence, and the College of Precision Healthcare to plan a second round of the youth practical training program. Both sides reached a consensus during the meeting, agreeing to extend the program to younger participants.
</w:t>
          <w:br/>
          <w:t>Kumamoto announced plans to begin, in August 2026, to bring batches of university students and young professionals from Japan’s Kyushu region, particularly industrial hubs such as Kumamoto and Fukuoka, to Tamkang University for intensive training. He also formally invited the Tamkang team to participate in KTVI’s anniversary event, with the aim of introducing Tamkang’s successful AI model to a broader range of Japanese local organizations and enterprises.
</w:t>
          <w:br/>
          <w:t>Kumamoto noted that participants from Japanese companies in the first workshop responded very positively, expressing strong appreciation for Tamkang’s practical learning pathways and technologies such as “VIBE Coding,” which require no programming background. He remarked that these approaches effectively address the anxieties faced by Japanese companies in digital transformation. “We hope that through this form of cross-border co-creation integrating industry, academia, and research, we can inject new vitality into regional industries in Japan and jointly respond to the industrial transformation and talent challenges brought by TSMC’s expansion into Kumamoto,” he said.
</w:t>
          <w:br/>
          <w:t>Dean Tzung-Hang Lee added that Tamkang is advancing its institutional vision of “AI+SDGs=∞” and “ESG+AI=∞,” positioning AI as a “super teammate” capable of autonomous planning. The program, scheduled to begin in August, will integrate foundational AI theory with hands-on applications, enabling Japanese participants to develop practical skills for transforming AI into concrete business solutions in the College of AI Innovation's real-world learning environment.</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6ef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46760b6f-7148-4576-852a-92695682c256.jpg"/>
                      <pic:cNvPicPr/>
                    </pic:nvPicPr>
                    <pic:blipFill>
                      <a:blip xmlns:r="http://schemas.openxmlformats.org/officeDocument/2006/relationships" r:embed="Ra02fc3578c1b44f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6f47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b5af92bd-619b-4a23-a5e8-67ac5cb37c9c.jpg"/>
                      <pic:cNvPicPr/>
                    </pic:nvPicPr>
                    <pic:blipFill>
                      <a:blip xmlns:r="http://schemas.openxmlformats.org/officeDocument/2006/relationships" r:embed="R6cab8dcb4e604e5c"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02fc3578c1b44fe" /><Relationship Type="http://schemas.openxmlformats.org/officeDocument/2006/relationships/image" Target="/media/image2.bin" Id="R6cab8dcb4e604e5c" /></Relationships>
</file>