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379d165694a7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數據揭祕衝突代價 羅福堡大學Choudhary教授解析恐怖主義對企業管理的影響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【記者黃國暉淡水校園報導】在全球競爭日益激烈的背景下，「管理品質」已逐漸被視為影響國家生產力的關鍵因素。英國羅福堡大學（Loughborough University）商學院經濟學系主任M. Ali Choudhary教授，4月16日下午受經濟學系邀請，在守謙國際會議中心以「Management and Conflict（管理與衝突）」為題發表專題演講，透過實證研究剖析恐怖主義對企業管理與經濟表現的影響，共計55位師生到場聆聽。
</w:t>
          <w:br/>
          <w:t>Choudhary教授指出，過去經濟學界多將「管理」視為難以量化的概念，但近年研究已逐步將其轉化為可測量的生產要素。透過「管理與組織實務調查」（Management and Organizational Practices Survey, MOPS），研究團隊以16項涵蓋目標設定、生產監控及人力獎酬的指標，建立企業管理品質評分機制，將抽象的管理能力量化為0至1之間的數值。「這不是直覺，而是數據。」Choudhary教授展示了涵蓋全球7萬家企業的數據庫，結果顯示，美國、德國等已開發國家平均分數穩定維持約0.6，而部分衝突地區僅約0.3。
</w:t>
          <w:br/>
          <w:t>演講核心聚焦於Choudhary教授的最新研究，探討恐怖主義對企業管理的因果影響。他指出，經濟學的重要挑戰在於「相關不等於因果」，並提出關鍵問題：究竟是恐怖主義導致管理惡化，還是管理較差的地區更容易滋生恐怖活動？為釐清兩者關係，他說明需透過與企業管理無關、卻能影響恐怖活動資金變化的「工具變數」，以排除其他干擾因素，建立較為可靠的因果判斷。研究同時觀察企業管理表現與恐怖活動變化，並控制不同年份、地區、產業及經濟條件，以提升分析結果的準確性。
</w:t>
          <w:br/>
          <w:t>在方法上，他運用巴基斯坦宗教課稅制度「天課」（Zakat）作為工具變數。當銀行存款超過門檻時須扣繳2.5%作為慈善用途，而門檻會隨國際銀價波動改變，進而影響資金流向。研究發現，部分資金轉向非正式管道後，可能流入極端組織，影響恐怖活動。透過「銀價變動—資金流向—恐怖活動」的關聯，研究成功排除其他因素干擾，更精確呈現恐怖主義對企業管理的影響。
</w:t>
          <w:br/>
          <w:t>研究結果顯示，在資本密集型恐怖襲擊（如爆炸案）激增的地區，企業管理品質分數平均下降約10%，財務績效也衰退約14%。Choudhary教授指出，衝突帶來的影響不僅是基礎設施毀損等「硬成本」，更包括管理人才流失與專業服務中斷等「軟成本」，長期削弱企業與全球知識體系的連結，使受災地區的企業陷入「低管理、低生產力、低擴張」的惡性循環，進而削弱國家整體的經濟表現。這項研究已發表於《Econometrica》期刊，被視為衝突經濟學領域的里程碑。
</w:t>
          <w:br/>
          <w:t>針對臺灣情況，雖然目前尚缺乏大規模MOPS數據，Choudhary教授仍根據經濟結構推估：「臺灣作為出口導向的高科技經濟體，其管理品質分數可能落在0.58至0.6之間，與美、德等國相近。」此一觀點引發現場師生討論，顯示管理實踐與產業競爭力之間的密切關聯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103120"/>
              <wp:effectExtent l="0" t="0" r="0" b="0"/>
              <wp:docPr id="1" name="IMG_601eeb9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bbe47b1-f955-416f-a087-fee10b118473.jpg"/>
                      <pic:cNvPicPr/>
                    </pic:nvPicPr>
                    <pic:blipFill>
                      <a:blip xmlns:r="http://schemas.openxmlformats.org/officeDocument/2006/relationships" r:embed="R910b396abd05456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103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52800"/>
              <wp:effectExtent l="0" t="0" r="0" b="0"/>
              <wp:docPr id="1" name="IMG_b5a328f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7563854-fdd5-4f9b-96a2-2e4342bbb858.jpg"/>
                      <pic:cNvPicPr/>
                    </pic:nvPicPr>
                    <pic:blipFill>
                      <a:blip xmlns:r="http://schemas.openxmlformats.org/officeDocument/2006/relationships" r:embed="R68391bac36ec4d8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10b396abd05456d" /><Relationship Type="http://schemas.openxmlformats.org/officeDocument/2006/relationships/image" Target="/media/image2.bin" Id="R68391bac36ec4d83" /></Relationships>
</file>