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17cdbfa050a041ee"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1248 期</w:t>
        </w:r>
      </w:r>
    </w:p>
    <w:p>
      <w:pPr>
        <w:jc w:val="center"/>
      </w:pPr>
      <w:r>
        <w:r>
          <w:rPr>
            <w:rFonts w:ascii="Segoe UI" w:hAnsi="Segoe UI" w:eastAsia="Segoe UI"/>
            <w:sz w:val="32"/>
            <w:color w:val="000000"/>
            <w:b/>
          </w:rPr>
          <w:t>Tamkang’s ‘Book Scroll, Palace Lantern, and Chemistry Mobile Lab’ Highlight Celebration of 30th Anniversary of Malaysian Alumni Association</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“What’s Up with Tamkang? 30 Years and Going Strong” Tamkang’s Night celebration, marking the 30th anniversary of the Alumni Association of Tamkang University in Malaysia, was grandly held on April 18 at Copper Mansion Sungai Long in Selangor, Malaysia. More than 330 alumni and distinguished guests attended the event. President Huan-Chao Keh led a university delegation that included Academic Vice President Hui-Huang Hsu, Vice President for International Affairs Hsiao-Chuan Chen, and Executive Director of the Office of Alumni Services and Resources Development Chun-Young Perng. Distinguished alumni leaders also traveled from overseas to attend, including Tamkang University Golden Eagle Club President Chien-Hsiang Lin, President of the Tamkang University Alumni Association Mainland China and Honorary President of the Southeast Asia Alumni Association Wen-Fu Chuang, and President of the Southeast Asia Alumni Chen-Kang Chan.
</w:t>
          <w:br/>
          <w:t>Dr. Yu-Ping Lien, Representative of the Taipei Economic and Cultural Office in Malaysia, attended the celebration and shared her personal connection to Tamkang University, noting that “my husband is a Tamkang alumnus.” She praised the university’s educational philosophy of Triple Objectives of Globalization, Information-oriented Education, and Future-oriented Education, highlighting its long-standing success in cultivating outstanding talent whose achievements span the globe. She specifically cited accounting alumnus Kinghoe Pang, recipient of last year’s Golden Eagle Award, as an excellent example of Tamkang’s educational accomplishments. She also encouraged alumni to continue inspiring more Malaysian students to pursue higher education in Taiwan and create broader opportunities for the future.
</w:t>
          <w:br/>
          <w:t>President Keh emphasized Tamkang’s recent development vision centered on “AI+SDGs=∞” and “ESG+AI=∞,” noting its active promotion of digital transformation and net-zero sustainability initiatives. He also highlighted the university’s strategic alliances with 15 independent Chinese high schools in Malaysia, aimed at fostering mutually beneficial collaboration. President Keh remarked that he had visited Malaysia only twice, during the association’s 20th and 30th anniversaries, but both visits left a deep impression on him and demonstrated the alumni association’s dedication and unity. He expressed hope that the association would continue supporting student recruitment and international collaboration for the sustainable development of Tamkang University. During the event, he presented the Malaysia Alumni Association with a commemorative artwork featuring the Palace Lantern Classroom and the Tamkang University anthem handwritten by Ben-Hang Chang, Director of the Carrie Chang Fine Arts Center, as a gesture of appreciation from the university.
</w:t>
          <w:br/>
          <w:t>“For an alumni association, 30 years represents not only the passage of time, but also the continuation of friendship and shared memories,” said President Tzu-Yu Ho of the Tamkang Alumni Association in Malaysia. She thanked all members and supporters who contributed to the association’s achievements and growth over the years. Seeing Tamkang alumni gather from across Malaysia, she proudly noted that Tamkang graduates are not only hardworking and ambitious, but also deeply connected to their alma mater and always eager to reunite.
</w:t>
          <w:br/>
          <w:t>A highlight of the evening was the “Chemistry Mobile Lab Launch Ceremony,” jointly promoted by Tamkang University and Universiti Tunku Abdul Rahman (UTAR). The initiative will bring the “Chemistry On The Go” outreach program, which has toured Taiwan for more than 15 years and conducted over 850 events, to the Malaysian Chinese Independent High School Association to promote science education. During the ceremony, President Keh handed a model of the Chemistry Mobile Lab to UTAR President Ewe Hong Tat, symbolizing the official launch of the program in Malaysia. The initiative aims to inspire more students to experience the joy of science learning while becoming more familiar with Tamkang University and exploring future academic opportunities.
</w:t>
          <w:br/>
          <w:t>The banquet venue was filled with distinctive Tamkang elements. Guests were welcomed by replicas of the iconic Scroll Plaza and Palace Lanterns, which quickly became popular photo spots among alumni. The celebration also featured lion dance performances, live music, and lucky draws that added excitement throughout the evening. Alumni warmly exchanged memories of their university days in a lively and joyful atmosphere. Chen-Kang Chan also invited attendees to participate in the biennial global alumni gathering scheduled for November 21 in Bangkok, where Tamkang alumni from around the world will reunite once again. Chun-Young Perng praised the organizers’ thoughtful arrangements, noting that he was deeply moved upon entering the venue and seeing the decorations. He further observed that many of the organizers were younger alumni who first became involved during the 2012 Malaysia biennial reunion, describing it as a meaningful example of generational continuity within the alumni association.
</w:t>
          <w:br/>
          <w:t>In addition to the anniversary celebration, the Malaysia Alumni Association also arranged academic lectures and school visits. On the morning of April 18, Hui-Huang Hsu delivered a keynote lecture titled “Reshaping Higher Education Innovation and Interdisciplinary Practice in the AI Era” at Kuen Cheng High School, sharing Tamkang University’s recent experiences in integrating AI into interdisciplinary education. On April 20, Vice President Hsiao-Chuan Chen visited Confucian Private Secondary School and Tsun Jin High School to introduce Tamkang University’s educational philosophy, learning environment, curriculum planning, admissions, and scholarship opportunities. Through these exchanges, the university hopes to help Malaysian students better understand Tamkang University and strengthen their interest in pursuing higher education in Taiwan.</w:t>
          <w:br/>
        </w:r>
      </w:r>
    </w:p>
    <w:p>
      <w:pPr>
        <w:jc w:val="center"/>
      </w:pPr>
      <w:r>
        <w:r>
          <w:drawing>
            <wp:inline xmlns:wp14="http://schemas.microsoft.com/office/word/2010/wordprocessingDrawing" xmlns:wp="http://schemas.openxmlformats.org/drawingml/2006/wordprocessingDrawing" distT="0" distB="0" distL="0" distR="0" wp14:editId="50D07946">
              <wp:extent cx="4876800" cy="3310128"/>
              <wp:effectExtent l="0" t="0" r="0" b="0"/>
              <wp:docPr id="1" name="IMG_7f8604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033ef3f4-e75f-48a5-a453-a3c6479f9929.jpg"/>
                      <pic:cNvPicPr/>
                    </pic:nvPicPr>
                    <pic:blipFill>
                      <a:blip xmlns:r="http://schemas.openxmlformats.org/officeDocument/2006/relationships" r:embed="R0e61bbc56c434f28" cstate="print">
                        <a:extLst>
                          <a:ext uri="{28A0092B-C50C-407E-A947-70E740481C1C}"/>
                        </a:extLst>
                      </a:blip>
                      <a:stretch>
                        <a:fillRect/>
                      </a:stretch>
                    </pic:blipFill>
                    <pic:spPr>
                      <a:xfrm>
                        <a:off x="0" y="0"/>
                        <a:ext cx="4876800" cy="331012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133344"/>
              <wp:effectExtent l="0" t="0" r="0" b="0"/>
              <wp:docPr id="1" name="IMG_971baf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706dca32-4aeb-4959-8fde-e56bc7b9cb6b.jpg"/>
                      <pic:cNvPicPr/>
                    </pic:nvPicPr>
                    <pic:blipFill>
                      <a:blip xmlns:r="http://schemas.openxmlformats.org/officeDocument/2006/relationships" r:embed="R0dcd515938dd4527" cstate="print">
                        <a:extLst>
                          <a:ext uri="{28A0092B-C50C-407E-A947-70E740481C1C}"/>
                        </a:extLst>
                      </a:blip>
                      <a:stretch>
                        <a:fillRect/>
                      </a:stretch>
                    </pic:blipFill>
                    <pic:spPr>
                      <a:xfrm>
                        <a:off x="0" y="0"/>
                        <a:ext cx="4876800" cy="313334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f8b6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e459f4bc-5ae6-4e16-97f8-53c406e01aa7.JPG"/>
                      <pic:cNvPicPr/>
                    </pic:nvPicPr>
                    <pic:blipFill>
                      <a:blip xmlns:r="http://schemas.openxmlformats.org/officeDocument/2006/relationships" r:embed="Rcf114c154ab44b38"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92ac75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73c34eaa-6cb4-4a6c-8bd5-2135d31d466f.JPG"/>
                      <pic:cNvPicPr/>
                    </pic:nvPicPr>
                    <pic:blipFill>
                      <a:blip xmlns:r="http://schemas.openxmlformats.org/officeDocument/2006/relationships" r:embed="R7432f06b7f0d49da"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0e61bbc56c434f28" /><Relationship Type="http://schemas.openxmlformats.org/officeDocument/2006/relationships/image" Target="/media/image2.bin" Id="R0dcd515938dd4527" /><Relationship Type="http://schemas.openxmlformats.org/officeDocument/2006/relationships/image" Target="/media/image3.bin" Id="Rcf114c154ab44b38" /><Relationship Type="http://schemas.openxmlformats.org/officeDocument/2006/relationships/image" Target="/media/image4.bin" Id="R7432f06b7f0d49da" /></Relationships>
</file>