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418cdb2104f8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【熊貓講座】淡江大學歷史系熊貓講座 英國David Nicholas Cannadine爵士暢談社會公益與慈善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【記者陳浩淡水校園報導】淡江大學文學院歷史學系5月28日在守謙國際會議中心有蓮廳，舉辦兩場「熊貓講座」，首場上午10時邀請獲英國王室封爵的重量級歷史學家大衛．尼可拉斯．康納汀爵士（Prof. Sir David Nicholas Cannadine），主講「Philanthropy in the Modern World」（現代社會中的公益與慈善），校內師生、中央研究院研究員、臺灣大學與政治大學等校師生近300人到場參與。
</w:t>
          <w:br/>
          <w:t>學術副校長許輝煌致詞歡迎康納汀爵士與琳達．柯利女爵（Prof. Dame Linda Colley）擔任本次熊貓講座講者。他介紹康納汀爵士曾任英國國家學術院院長，現為美國普林斯頓大學歷史學榮譽教授，因對歷史學與人文研究之卓越貢獻獲封爵士。另說明熊貓講座的由來與宗旨，藉此促成高水準國際講座交流，期盼師生能從講座中獲得更多啟發。
</w:t>
          <w:br/>
          <w:t>康納汀爵士開場即肯定臺灣近年在公益與慈善領域的表現，並特別提及今天演講所在地「守謙國際會議中心」正是由淡江大學管科所校友徐航健捐資興建，顯見臺灣高等教育與民間慈善力量的緊密結合。
</w:t>
          <w:br/>
          <w:t>接著，康納汀爵士帶領聽眾回溯現代慈善事業的起源。「為公共利益而給予」並非現代產物，從《聖經》東方三博士獻禮，到16世紀Thomas Bodley捐贈牛津大學波德利圖書館，慈善與人類文明同樣悠久。然而，20世紀後慈善逐漸制度化，係因19世紀末美國因工業化發展催生了卡內基與洛克斐勒等超級富豪，卡內基更留下名言「帶著財富死去的人是可恥的」，指出現代慈善的核心精神，在於財富不只是私人資產，更應承擔公共責任。
</w:t>
          <w:br/>
          <w:t>隨著卡內基、洛克斐勒、福特等大型基金會紛紛成立，深刻影響了全球的大學、醫院與文化機構發展。康納汀爵士強調，慈善史並非單純的「善行史」，許多基金會創辦人的財富來源，往往伴隨著勞工壓迫或殖民主義的爭議，慈善雖帶來公共利益，但其背後同時反映了「財富與權力的不平等」。
</w:t>
          <w:br/>
          <w:t>談到21世紀趨勢，康納汀爵士點出，科技產業帶動了強調企業管理與成果導向的「慈善資本主義」興起，比爾蓋茲與巴菲特便是代表。只是，超級富豪是否過度影響公共政策，以及高等教育機構正面臨的「受贈倫理」，在目前仍持續具備爭議性。他舉例說明，美國耶魯大學曾因捐贈者企圖干預教職任命而退還捐款、紐約大都會博物館也因賽克勒家族捲入藥物危機而移除其冠名，這顯示現代機構在募款時，不能只問「有沒有錢」，更必須審慎檢視「錢從哪裡來？」
</w:t>
          <w:br/>
          <w:t>　康納汀爵士引用英國思想家R.H. Tawney的名言「富人所說的貧窮問題，其實是窮人眼中的財富問題。」他強調，慈善既反映財富不平等，也提供了富人回應社會責任的機會。最後勉勵在座學生，未來若在各領域取得成功與財富，應思考如何以具備公共意識的方式回饋社會與母校。
</w:t>
          <w:br/>
          <w:t>　問答環節，由康納汀爵士、中央研究院歷史語言研究所研究員陳國棟、本校歷史系系主任李其霖與助理教授蔡育潞共同主持，多位與會者提問，現場互動熱絡。
</w:t>
          <w:br/>
          <w:t>中研院副研究員張谷銘分享，康納汀爵士點出大型基金會透過慈善與補助改善社會問題，卻也可能因資源持續集中於名校與大型機構，反而製造新的不平等，這觀點讓他印象深刻，值得臺灣社會進一步思考。
</w:t>
          <w:br/>
          <w:t>中研院研究員李尚仁則分享，康納汀爵士從20世紀的企業家基金會，談到當代科技富豪的慈善模式，提供了宏觀且具歷史脈絡的視角，其中，新興基金會強調在創辦人有生之年積極運用資產的做法，也讓他認為相當值得觀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345400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7b5393b-1527-4c1d-b176-cb340df7f01d.jpg"/>
                      <pic:cNvPicPr/>
                    </pic:nvPicPr>
                    <pic:blipFill>
                      <a:blip xmlns:r="http://schemas.openxmlformats.org/officeDocument/2006/relationships" r:embed="R037bc72dcf5342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02736"/>
              <wp:effectExtent l="0" t="0" r="0" b="0"/>
              <wp:docPr id="1" name="IMG_6ce250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98542db2-5595-48de-9bc2-b1f81e87f7e3.jpg"/>
                      <pic:cNvPicPr/>
                    </pic:nvPicPr>
                    <pic:blipFill>
                      <a:blip xmlns:r="http://schemas.openxmlformats.org/officeDocument/2006/relationships" r:embed="Rb1a84d79799947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027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c542c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a62754f-232b-4a50-b436-84f6434aac54.jpg"/>
                      <pic:cNvPicPr/>
                    </pic:nvPicPr>
                    <pic:blipFill>
                      <a:blip xmlns:r="http://schemas.openxmlformats.org/officeDocument/2006/relationships" r:embed="R8c195bdf0e0c4f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d88b1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37729c6-2ee4-4560-8c4f-1edf73884674.jpg"/>
                      <pic:cNvPicPr/>
                    </pic:nvPicPr>
                    <pic:blipFill>
                      <a:blip xmlns:r="http://schemas.openxmlformats.org/officeDocument/2006/relationships" r:embed="R8c14c6c7402a4e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ad84de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3e4c266-3fc4-4a2f-a535-8800a50984a8.jpg"/>
                      <pic:cNvPicPr/>
                    </pic:nvPicPr>
                    <pic:blipFill>
                      <a:blip xmlns:r="http://schemas.openxmlformats.org/officeDocument/2006/relationships" r:embed="R05ce55c5d4ba46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37bc72dcf5342ae" /><Relationship Type="http://schemas.openxmlformats.org/officeDocument/2006/relationships/image" Target="/media/image2.bin" Id="Rb1a84d7979994755" /><Relationship Type="http://schemas.openxmlformats.org/officeDocument/2006/relationships/image" Target="/media/image3.bin" Id="R8c195bdf0e0c4f2d" /><Relationship Type="http://schemas.openxmlformats.org/officeDocument/2006/relationships/image" Target="/media/image4.bin" Id="R8c14c6c7402a4e64" /><Relationship Type="http://schemas.openxmlformats.org/officeDocument/2006/relationships/image" Target="/media/image5.bin" Id="R05ce55c5d4ba46ef" /></Relationships>
</file>