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5883883d84f6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【AI+SDGs= ESG+AI=∞ 企業最愛】培育職涯戰力‧躍升未來人才／董事長張家宜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114學年度畢業特刊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本校以「雙軌轉型」、「數位轉型」及「永續發展」為發展主軸，並凝聚教學與行政相互支援的領導團隊，共同擘劃前瞻願景，同時，建構以學生為核心的「學習加值鏈地圖」，形塑師生兼具系統思維與創新視野的環境。在完善的資源與設備支持下，持續深耕人工智慧（AI）技術應用，進一步提升學習成效。2026 年榮獲《Cheers》雜誌、《遠見雜誌》及「1111 人力銀行」三大媒體調查評選為「企業最愛大學」私校桂冠。
</w:t>
          <w:br/>
          <w:t>為強化永續教育核心價值，結合國際發展趨勢及風險評估，運用「AI 與雲端服務技術」作為創新轉型的策略工具。設計「AI＋SDGs＝∞」與「ESG＋AI＝∞」，增進大學形象識別度，並取得經濟部智財局雙商標，此宏觀的校務發展願景，傳遞淡江品牌精神。屢獲「永續績優大學獎」、「台灣永續行動獎」及「國家永續獎」等獎項肯定，並持續爭取英國《泰晤士高等教育》（THE）世界大學影響力排名躍進。
</w:t>
          <w:br/>
          <w:t>管理顧問麥肯錫（McKinsey &amp; Company）2026 年組織狀態調查，發現 AI從「工具」已轉變為能自主作業、主動執行任務的「代理人」。經濟合作暨發展組織（OECD）成員，「課程重新設計中心」（CCR）創辦人查爾斯･費德（CharlesFadel）也指出，人類須具備智慧能力，像似多功能的瑞士刀。而本校匯聚「國際化、資訊化、未來化」三化教育理念及德智體群美五育精神的八大基本素養，正是 AI 代理（AI Agent）欠缺的萬能利器。
</w:t>
          <w:br/>
          <w:t>淡江打造全雲端 3.0 校園，透過 AI 賦能，創人機協作價值，轉化無數個數位分身，突破人類能力極限的關鍵槓桿。硬實力只是職場入場券，唯有深化校定八大素養，融合全人發展的「軟技能」裝備，才能決定職涯高度。準畢業生們，在學校的支持及分布世界各地 33 萬校友龐大資源的後援，兼具 AI 成長型思維與人文關懷的 π 型人才，方能務實致用地銜接職場，成為關鍵戰力。</w:t>
          <w:br/>
        </w:r>
      </w:r>
    </w:p>
  </w:body>
</w:document>
</file>