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6e943a901c8488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Tamkang University Emblem Appears Alongside Jensen Huang Again, Students Watch GTC Livestream, Experience the Latest AI Breakthroughs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As one of the year’s premier technology events, COMPUTEX 2026 Taipei officially opened on June 1. At 10:00 a.m., the College of Artificial Innovative Intelligence at Tamkang University hosted the “GTC Taipei 2026 NVIDIA CEO Jensen Huang Keynote Livestream Campus Viewing Party” in the Chang Yeo Lan International Conference Hall of the Hsu Shou-Chlien International Conference Center. More than 450 faculty members, staff, and students attended the event, enjoying food, prize giveaways, and an energetic atmosphere.
</w:t>
          <w:br/>
          <w:t>As generative AI continues to advance at a remarkable pace, Jensen Huang remains one of the most influential figures in the field. In his opening remarks, President Huan-Chao Keh encouraged students by citing two of Huang’s recent remarks: “Don’t be left behind by AI—embrace AI and let it help us grow,” and “You won’t lose your job because of AI; you’ll lose it to someone who uses AI better than you.” He emphasized that Tamkang University has long invested in AI education and is recognized as an NVIDIA AI University in Taiwan. He expressed hope that collaboration between the university and NVIDIA would continue to deepen in the future. During an interactive quiz session, he offered a premium fountain pen as a prize and challenged students to explain how Tamkang has become one of the fastest and most advanced universities in implementing AI technologies. Students enthusiastically highlighted initiatives such as the university’s All Cloud Smart Campus 3.0, AI-driven teaching innovation, Microsoft online courses, micro-credential programs, professional certifications from Microsoft and NVIDIA, practical AI applications, and immersive AI learning environments.
</w:t>
          <w:br/>
          <w:t>During the two-hour keynote, Jensen Huang opened in his signature relaxed style. In addition to introducing NVIDIA’s partners, he featured his favorite Taiwanese foods and restaurants in the presentation backdrop, further enhancing his approachable image. One of the highlights for the Tamkang audience was seeing the university’s “樸實剛毅” emblem once again appear alongside Huang during the broadcast, drawing media attention.
</w:t>
          <w:br/>
          <w:t>The keynote focused on emerging trends in AI. Huang identified Agentic AI as the next major frontier, describing systems that combine large language models, memory systems, and execution tools to autonomously complete tasks. He introduced the new Vera Rubin architecture, emphasizing that it is not merely a chip but a multi-rack computing system specifically designed for AI agents. Huang further argued that companies of the future will no longer simply purchase computers but will instead build AI factories, directly converting computing power into revenue. He also introduced several new products and platforms, including the RTX Spark AI personal computer, Cosmos 3 for real-world simulation, Alpamayo 2, and Isaac GROOT.
</w:t>
          <w:br/>
          <w:t>Huang also stressed that AI is dramatically improving developer productivity, citing trends observed on platforms such as GitHub. He maintained that AI will not reduce employment opportunities but instead create new ones, arguing that fears of AI replacing jobs are often misunderstood.
</w:t>
          <w:br/>
          <w:t>Following the keynote by the “Godfather of AI,” students shared their perspectives. Chih-Jui Lin from the Department of Economics noted that while AI may increase overall economic output, it also significantly raises technical barriers to entry. He expressed concern that as AI agents become capable of handling entry-level tasks, demand for junior positions may decline, potentially making employment more challenging for new graduates.
</w:t>
          <w:br/>
          <w:t>Yu-Tzu Hsiao from the Department of AI admitted feeling some uncertainty about the future: “Sometimes it seems that everyone is learning AI, and if you don’t stand out, it feels easy to be replaced,” she remarked. At the same time, she viewed this concern as motivation to continue improving herself, recognizing that future success will require not only technical expertise but also continuous learning and interdisciplinary integration.
</w:t>
          <w:br/>
          <w:t>The event was hosted by Assistant Professors Ming-Hung Chang and Yen-Chun Huang of the AI Department, who kept the audience engaged throughout the program. The event concluded with a lucky draw featuring the latest GeForce RTX 50 Series graphics cards. Special guest Irene, APAC regional marketing expert from NVIDIA, also interacted with students. Sharing her own background as a graduate of the Advertising Department at National Chengchi University rather than a STEM discipline, she described how interdisciplinary learning enabled her transition into the technology industry. She emphasized that NVIDIA values passion for products, cross-disciplinary capabilities, and strong English communication skills, encouraging students to embrace opportunities beyond their primary fields of study.</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0cf96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13f73867-d9f5-428b-b8b4-78f9eb6abc1c.jpg"/>
                      <pic:cNvPicPr/>
                    </pic:nvPicPr>
                    <pic:blipFill>
                      <a:blip xmlns:r="http://schemas.openxmlformats.org/officeDocument/2006/relationships" r:embed="Rb9ebb52d8a0d421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5c49cb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9d06817-dc96-464c-9434-5b12de8cce7d.jpg"/>
                      <pic:cNvPicPr/>
                    </pic:nvPicPr>
                    <pic:blipFill>
                      <a:blip xmlns:r="http://schemas.openxmlformats.org/officeDocument/2006/relationships" r:embed="R03b7c3f805cf49a5"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8f63f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a896c1d-a14d-4c81-bdb1-c1eb581fcf36.jpg"/>
                      <pic:cNvPicPr/>
                    </pic:nvPicPr>
                    <pic:blipFill>
                      <a:blip xmlns:r="http://schemas.openxmlformats.org/officeDocument/2006/relationships" r:embed="Rf6a8b12970a74258"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5f08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f119e35-b220-48c4-bdd8-9f38a9c4ba31.jpg"/>
                      <pic:cNvPicPr/>
                    </pic:nvPicPr>
                    <pic:blipFill>
                      <a:blip xmlns:r="http://schemas.openxmlformats.org/officeDocument/2006/relationships" r:embed="R2dbcdceafac84ea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938528"/>
              <wp:effectExtent l="0" t="0" r="0" b="0"/>
              <wp:docPr id="1" name="IMG_8b2a8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4ba7ce8-77ad-42a9-a870-ceddbc7bd426.jpg"/>
                      <pic:cNvPicPr/>
                    </pic:nvPicPr>
                    <pic:blipFill>
                      <a:blip xmlns:r="http://schemas.openxmlformats.org/officeDocument/2006/relationships" r:embed="Rbaf3b52aec9a4a5d" cstate="print">
                        <a:extLst>
                          <a:ext uri="{28A0092B-C50C-407E-A947-70E740481C1C}"/>
                        </a:extLst>
                      </a:blip>
                      <a:stretch>
                        <a:fillRect/>
                      </a:stretch>
                    </pic:blipFill>
                    <pic:spPr>
                      <a:xfrm>
                        <a:off x="0" y="0"/>
                        <a:ext cx="4876800" cy="19385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9ebb52d8a0d4214" /><Relationship Type="http://schemas.openxmlformats.org/officeDocument/2006/relationships/image" Target="/media/image2.bin" Id="R03b7c3f805cf49a5" /><Relationship Type="http://schemas.openxmlformats.org/officeDocument/2006/relationships/image" Target="/media/image3.bin" Id="Rf6a8b12970a74258" /><Relationship Type="http://schemas.openxmlformats.org/officeDocument/2006/relationships/image" Target="/media/image4.bin" Id="R2dbcdceafac84ea3" /><Relationship Type="http://schemas.openxmlformats.org/officeDocument/2006/relationships/image" Target="/media/image5.bin" Id="Rbaf3b52aec9a4a5d" /></Relationships>
</file>