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44adf2ea6cb405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Longtime Advocate for Accessible Testing Rights, Hsi-Ming Hung Awarded Third-Class Examination Professional Medal</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Hsi-Ming Hung, Executive Secretary of the Resource Center of Special Education at Tamkang University, has been awarded the Third-Class Examination Professional Medal by the Ministry of Examination (MOEX) in recognition of his long-standing contributions to the administration of national examinations. The award ceremony was held at 10:30 a.m. on May 13 in the First Conference Room of the MOEX Administrative Building, with Dean of Academic Affairs Tzong-Ru Tsai accepting the award on his behalf. Hung expressed gratitude to his colleagues at the Special Education Resource Center, humbly noting that the award recognizes “the long-term contributions of the entire team to the nation’s examination and admissions services.”
</w:t>
          <w:br/>
          <w:t>Tzong-Ru Tsai emphasized that the center actively fulfills its social responsibility by supporting a wide range of national examination services. On average, the center assists with 19 examinations annually, contributing approximately 79 days of examination support and mobilizing between 100 and 111 staff participations each year. Since 2018, Hung has served as a member of the MOEX Committee for the Protection of the Rights of Persons with Disabilities in National Examinations, where he has participated in reviewing disability-related accommodation cases and assisting applicants in securing appropriate testing adjustments. Following a review by the MOEX Examination Professional Medal Selection Committee, Hung was chosen as one of only nine recipients of the Third-Class Examination Professional Medal. Tsai remarked, “His achievement is a source of pride for both the Special Education Resource Center and Tamkang University.”
</w:t>
          <w:br/>
          <w:t>Tamkang University has long been committed to protecting the educational rights of students with disabilities. As early as 1969, the Founder, Dr. Clement Chang, opened admissions to visually impaired students in the Department of Chinese Literature and established a support group to assist them with their academic and daily lives. Guided by his vision, the university expanded these services into the Center of Resources for Blind Students in 1980, renamed it the Center of Resources for Visual Impairment in 2014, and further transformed it into the Resource Center of Special Education in 2025. The center serves students with a wide range of disabilities by providing academic counseling, learning assistance, psychological support, assistive technology resources, and campus adaptation services. It also operates several Ministry of Education–commissioned programs, including the Assistive Technology Center for Visually Impaired Students in Higher Education and Secondary Schools, the Chinese Digital Library for the Visually Impaired, and the EYE Social Innovation Service Center, which supports employment opportunities for visually impaired students.
</w:t>
          <w:br/>
          <w:t>To further enhance educational support for students with disabilities, Tamkang University has established a Special Education Promotion Committee to oversee related planning and initiatives. Accessibility-related meetings are held every semester, and President Huan-Chao Keh personally chairs the annual forum for students with disabilities and their parents. These forums provide opportunities for students and families to share their needs and concerns, helping the university create an increasingly inclusive and student-centered campus environment. Students may also submit accessibility requests and suggestions through designated departmental contact points, with professionally certified staff from the Office of General Affairs coordinating and implementing improvements.
</w:t>
          <w:br/>
          <w:t>To ensure a safe and supportive learning environment, Tamkang University has continuously invested in the development of an accessible campus. Accessibility features are widely available throughout campus buildings and include emergency call buttons, entrance guidance signage, accessible parking spaces, elevators, appropriately designed accessible facilities, ramps, wide corridors, non-slip flooring, tactile guidance systems for the visually impaired, accessible restrooms, and handrails on stairways. All facilities are designed in accordance with the Ministry of Education’s accessibility standards, ensuring convenience, safety, and equal access for all users.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8f7c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7c75be2b-12e2-4071-94c5-fb1810b67b0b.JPG"/>
                      <pic:cNvPicPr/>
                    </pic:nvPicPr>
                    <pic:blipFill>
                      <a:blip xmlns:r="http://schemas.openxmlformats.org/officeDocument/2006/relationships" r:embed="R7881408e5eca428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968752"/>
              <wp:effectExtent l="0" t="0" r="0" b="0"/>
              <wp:docPr id="1" name="IMG_6541df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ead4982b-a916-4f87-8a1b-d3519aa846d6.jpg"/>
                      <pic:cNvPicPr/>
                    </pic:nvPicPr>
                    <pic:blipFill>
                      <a:blip xmlns:r="http://schemas.openxmlformats.org/officeDocument/2006/relationships" r:embed="Rb0aa5d9e1eb947f0" cstate="print">
                        <a:extLst>
                          <a:ext uri="{28A0092B-C50C-407E-A947-70E740481C1C}"/>
                        </a:extLst>
                      </a:blip>
                      <a:stretch>
                        <a:fillRect/>
                      </a:stretch>
                    </pic:blipFill>
                    <pic:spPr>
                      <a:xfrm>
                        <a:off x="0" y="0"/>
                        <a:ext cx="4876800" cy="296875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041904"/>
              <wp:effectExtent l="0" t="0" r="0" b="0"/>
              <wp:docPr id="1" name="IMG_c116e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879be9e-2467-4db3-9245-068eab8e1901.jpg"/>
                      <pic:cNvPicPr/>
                    </pic:nvPicPr>
                    <pic:blipFill>
                      <a:blip xmlns:r="http://schemas.openxmlformats.org/officeDocument/2006/relationships" r:embed="R4fec8f560e3c4c75" cstate="print">
                        <a:extLst>
                          <a:ext uri="{28A0092B-C50C-407E-A947-70E740481C1C}"/>
                        </a:extLst>
                      </a:blip>
                      <a:stretch>
                        <a:fillRect/>
                      </a:stretch>
                    </pic:blipFill>
                    <pic:spPr>
                      <a:xfrm>
                        <a:off x="0" y="0"/>
                        <a:ext cx="4876800" cy="30419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881408e5eca4288" /><Relationship Type="http://schemas.openxmlformats.org/officeDocument/2006/relationships/image" Target="/media/image2.bin" Id="Rb0aa5d9e1eb947f0" /><Relationship Type="http://schemas.openxmlformats.org/officeDocument/2006/relationships/image" Target="/media/image3.bin" Id="R4fec8f560e3c4c75" /></Relationships>
</file>