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8b1979402fb4fc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觀勢匯天下第二屆啟動 聚焦AI與永續轉型</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記者陳浩台北校園報導】面對AI與永續轉型浪潮，企業經營者如何持續學習、掌握趨勢，成為重要課題。由淡江大學推廣教育處與淡江大學菁英會共同推出的後EMBA課程「觀勢匯天下」，6月13日上午10時在台北校園舉辦第二屆開學典禮暨共識營。校長葛煥昭、學術副校長許輝煌、行政副校長林俊宏，以及多位師長、校友會與產業界代表出席，共同見證第二屆課程啟動。
</w:t>
          <w:br/>
          <w:t>葛校長致詞時表示，面對全球局勢快速變遷與人工智慧發展，企業經營已不再只是追求獲利與成長，更需兼顧AI轉型與ESG永續治理等重要課題。他指出，領導者必須具備因應變局的思維與能力，才能帶領組織持續創新與轉型；大學除培育青年人才外，也應持續提供終身學習資源，協助各領域專業人士掌握趨勢、精進能力。
</w:t>
          <w:br/>
          <w:t>有別於一般以大型企業經營管理為主的高階培訓課程，「觀勢匯天下」特別從中小企業經營者及高階主管需求出發規劃課程內容。淡江大學菁英會會長林健祥表示，許多企業面對數位轉型、永續治理及接班傳承等挑戰時，往往需要兼具理論與實務的學習資源，因此課程結合淡江校友與產業界力量，希望透過交流與學習平台，協助學員掌握產業脈動與經營趨勢，將所學實踐於企業管理與組織發展。
</w:t>
          <w:br/>
          <w:t>推廣教育處推廣教育長林宜男說明，課程規劃的出發點，在於協助中小企業經營者及高階主管因應AI發展、永續轉型及產業快速變動帶來的挑戰，「觀勢匯天下」聚焦AI科技應用、ESG永續經營與實戰領導力三大主軸，透過個案分析、企業參訪、專題論壇及實務交流等課程設計，引導學員將趨勢洞察轉化為經營策略。第二屆也持續結合中華經營智慧分享協會（MISA）、狼窩創業投資加速器等合作夥伴資源，透過理論與實務並重的設計，提升學員的決策與經營能力。
</w:t>
          <w:br/>
          <w:t>擔任課程講師代表的宜鼎國際董事長簡川勝則從產業角度分享，AI能協助企業快速取得資訊與工具，但企業面對複雜問題時，仍需結合不同領域知識與經驗進行判斷。他認為，來自不同產業背景的學員共同學習與討論，不僅有助於拓展視野，也能從彼此經驗中獲得新的思考方向，這也是課程的重要價值之一。
</w:t>
          <w:br/>
          <w:t>除了課堂學習外，「觀勢匯天下」也逐步發展為持續交流的學習社群。第一屆學員於結業後成立校友會，透過活動與交流維繫互動。第一屆學員、觀勢匯天下校友會理事長賴調燦分享，課程不僅提供企業經營與永續發展等專業知識，也讓學員透過與講師及同學互動，獲得新的觀點與思維。他勉勵第二屆學員以「空杯心態」投入學習，珍惜每位講師帶來的知識，把握與同學交流的機會。
</w:t>
          <w:br/>
          <w:t>第二屆學員暨班長、云風實業股份有限公司董事長許志淞表示，AI與ESG已逐漸成為企業經營的重要課題，持續學習與跨域交流愈顯重要。他期待透過課程吸收新知、拓展視野，與來自不同產業的學員相互學習，共同面對未來挑戰。
</w:t>
          <w:br/>
          <w:t>系所友會聯合總會總會長蘇志仁、中華民國淡江大學校友總會總會長莊子華、狼窩創業投資加速器董事長周青麟、中華經營智慧分享協會執行長吳文濱和中華專案管理學會理事長許秀影也都出席開學典禮，並向第二屆學員致上祝福，期勉大家透過課程拓展視野、累積人脈，為企業發展開創更多可能。</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ae13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e21edb27-8991-4b3b-ab4a-7d205ef5efbb.jpg"/>
                      <pic:cNvPicPr/>
                    </pic:nvPicPr>
                    <pic:blipFill>
                      <a:blip xmlns:r="http://schemas.openxmlformats.org/officeDocument/2006/relationships" r:embed="R30ca915694d54e9c"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fd53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abe23d8-3b30-435d-a2ed-f8eecf7a60f6.jpg"/>
                      <pic:cNvPicPr/>
                    </pic:nvPicPr>
                    <pic:blipFill>
                      <a:blip xmlns:r="http://schemas.openxmlformats.org/officeDocument/2006/relationships" r:embed="Rb56c23794659457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037ba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803ac1e-49be-45fe-971d-6c7a87ae9ac3.jpg"/>
                      <pic:cNvPicPr/>
                    </pic:nvPicPr>
                    <pic:blipFill>
                      <a:blip xmlns:r="http://schemas.openxmlformats.org/officeDocument/2006/relationships" r:embed="Ra14c435fd7e948a2"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0ca915694d54e9c" /><Relationship Type="http://schemas.openxmlformats.org/officeDocument/2006/relationships/image" Target="/media/image2.bin" Id="Rb56c23794659457c" /><Relationship Type="http://schemas.openxmlformats.org/officeDocument/2006/relationships/image" Target="/media/image3.bin" Id="Ra14c435fd7e948a2" /></Relationships>
</file>