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2013aa6824a3b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1256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遠見「AI數位轉型圈」啟動大會  李宗翰參與對談提供「淡江經驗」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【賴映秀淡水校園報導】《哈佛商業評論》與《遠見》成立共學平台「AI數位轉型圈」，7月28 日舉辦啟動大會，匯集產官學智庫與決策高層，為當前瞬息萬變的AI情勢尋求轉型路徑。本校工學院暨AI創智學院院長李宗翰應邀與談，分享淡江AI、永續雙轉型的軌跡，為產學界提供「淡江經驗」。
</w:t>
          <w:br/>
          <w:t>成立大會邀請數位發展部部長林宜敬、iKala創辦人程世嘉、勤業眾信資深執行副總經理陳威棋，以及台智雲策略長李立國進行專題演說。內容涵蓋當今AI變局下的商業思維、組織變革、人才培育以及技術生態等面向。
</w:t>
          <w:br/>
          <w:t>李宗翰在「AI賦能百工百業趨勢對談」中 ，與仁寶電腦副總經理陳益昌、中國醫藥大學附設醫院人工智慧暨機器人創新中心主任張詩聖，暢談在組織中AI 的實際推動經驗。李宗翰表示，推動AI轉型除了領導者要有明確的意志與願景之外，針對學生、 教師，與行政人員不同使用者的需求做出對應設計，是AI的落地能否水到渠成的關鍵。
</w:t>
          <w:br/>
          <w:t>　他特別介紹本校首重學生學習，以「AI創智學院」為中心，開設超過300門與微軟（Microsoft）、輝達（NVIDIA）及未來規劃納入的超微（AMD）等國際證照結合的AI課程。「學生可以隨時隨地上網學習，修課不僅能得到知識，還能同時取得微學分與國際證照，大幅提高了學生的學習意願。」
</w:t>
          <w:br/>
          <w:t>　除了分享學校推動數位轉型的具體作法，李宗翰也將淡江打造「校務數據中台」，推動「全雲端智慧校園」 的三階段歷程，向在場會眾作簡要介紹。他表示，「全雲端智慧校園 3.0」涵蓋範圍從行政擴展至教學、研究與產學合作等領域。「未來使用者將能在自身權限內，對校內所有資料進行一次性的全面搜尋與統整，藉此獲得數據洞察，據以作出精準決策。」
</w:t>
          <w:br/>
          <w:t>　除了精彩的講座之外，遠見．HBR社長楊瑪利於會中提出一份針對156家重視數位轉型企業、大學與醫療機構的最新調查數據指出，多數機構對於AI轉型仍在摸索階段，且有高達65.4％的受訪者認為，轉型最大限制在於人才短缺。遠見表示，這份報告說明了當今企業的焦慮與需求，組織共學平台正是時候，已召集超過50人的產官學顧問團，助力企業AI轉型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657600"/>
              <wp:effectExtent l="0" t="0" r="0" b="0"/>
              <wp:docPr id="1" name="IMG_a7b60b9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29071032691-3fd8321f.jpg"/>
                      <pic:cNvPicPr/>
                    </pic:nvPicPr>
                    <pic:blipFill>
                      <a:blip xmlns:r="http://schemas.openxmlformats.org/officeDocument/2006/relationships" r:embed="R58c67e47b048498d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657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657600"/>
              <wp:effectExtent l="0" t="0" r="0" b="0"/>
              <wp:docPr id="1" name="IMG_4914b1d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29071127656-213b1f7f.jpg"/>
                      <pic:cNvPicPr/>
                    </pic:nvPicPr>
                    <pic:blipFill>
                      <a:blip xmlns:r="http://schemas.openxmlformats.org/officeDocument/2006/relationships" r:embed="R0acea2a710c74320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657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657600"/>
              <wp:effectExtent l="0" t="0" r="0" b="0"/>
              <wp:docPr id="1" name="IMG_9ec2546c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29071153603-b6a7c916.jpg"/>
                      <pic:cNvPicPr/>
                    </pic:nvPicPr>
                    <pic:blipFill>
                      <a:blip xmlns:r="http://schemas.openxmlformats.org/officeDocument/2006/relationships" r:embed="R25340d8f73db4d05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657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58c67e47b048498d" /><Relationship Type="http://schemas.openxmlformats.org/officeDocument/2006/relationships/image" Target="/media/image2.bin" Id="R0acea2a710c74320" /><Relationship Type="http://schemas.openxmlformats.org/officeDocument/2006/relationships/image" Target="/media/image3.bin" Id="R25340d8f73db4d05" /></Relationships>
</file>