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2cc4cc93f426c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全面品質管理教育訓練 強化公文基礎撰寫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潘劭愷淡水校園報導】品質保證稽核處8月25日下午1時30分，在守謙國際會議中心HC305-307舉辦115學年度「全面品質管理教育訓練」，122名行政單位同仁與未參與訓練之學術單位同仁，針對主題「行政零錯誤—公文基礎撰寫與常見錯誤解析」透過專題分享與實際演練，共同強化公文書寫基礎。
</w:t>
          <w:br/>
          <w:t>　稽核長林志娟致詞時，強調公文撰寫不僅追求「文字精準」，更重視「流程順暢」與「執行企圖」。說明課程規劃的同時，也特別提到分組安排的用意，希望讓同組中經驗豐富的同仁，帶著新進或經驗較少的同仁一起成長。最後鼓勵參與同仁認真學習並積極深化交流，確實掌握優質公文的撰寫基礎。
</w:t>
          <w:br/>
          <w:t>　專題演講由文書組組長黃懿嫃，以「從文字到流程的完美文書診療室」為題，搭配實際案例，說明文書處理流程與業務重點、公文撰寫與注意事項。其中特別提醒「執行OA寄檔掛文及時通知文書組」、「善用OD系統公文資訊備註欄」及「改分申請前宜進行溝通」，皆有助於收文業務的順利進行。公文撰寫部分則從OD系統的公文種類談起，陸續介紹公文結構、書寫原則；最後則提出發文、用印與歸檔退件等常見問題與案例說明，希望建立同仁們正確的基礎觀念。
</w:t>
          <w:br/>
          <w:t>　實際演練藉由Kahoot!問答與公文撰寫兩大部分，協助參與同仁掌握文書處理與公文撰寫的要領。問答部分由各組推派代表參與，在最快時間內討論出正確答案並作答，公文撰寫則模擬實際案例，完成校內簽、校內公告及函稿的撰寫。期間各組互動熱絡，迅速完成討論並送出正確解答；公文撰寫各組在共同審視主題並進行初步討論後，由新進同仁擬稿，資深同仁從旁協助並予提醒，完成後進行交流分享，並由黃懿嫃進行最後講評與建議。
</w:t>
          <w:br/>
          <w:t>　為確實了解參與同仁的學習成果，活動特別安排相關問題，以不同順序及選項安排前測與後測，結果顯示，前測平均分數70.1分，後測平均分數85.4分，整體進步率為8成。活動回饋方面，多數同仁對於訓練課程內容給予肯定，認為藉由實務操作及資深同仁的從旁指導，可確實提升撰寫公文的能力。另對於活動內容也給出希望增加「決行權責編號說明」、「如何透過AI增進公文處理效率」等建議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c7078a9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3105654842-2a2218fd.jpg"/>
                      <pic:cNvPicPr/>
                    </pic:nvPicPr>
                    <pic:blipFill>
                      <a:blip xmlns:r="http://schemas.openxmlformats.org/officeDocument/2006/relationships" r:embed="R6c90ef4437be4e9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425952"/>
              <wp:effectExtent l="0" t="0" r="0" b="0"/>
              <wp:docPr id="1" name="IMG_1a108b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3105733238-371d7063.jpg"/>
                      <pic:cNvPicPr/>
                    </pic:nvPicPr>
                    <pic:blipFill>
                      <a:blip xmlns:r="http://schemas.openxmlformats.org/officeDocument/2006/relationships" r:embed="Rc9042981e5bf4ef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4259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432048"/>
              <wp:effectExtent l="0" t="0" r="0" b="0"/>
              <wp:docPr id="1" name="IMG_c149cd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3105812245-cb28ee31.jpg"/>
                      <pic:cNvPicPr/>
                    </pic:nvPicPr>
                    <pic:blipFill>
                      <a:blip xmlns:r="http://schemas.openxmlformats.org/officeDocument/2006/relationships" r:embed="Rcc97896766654a6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4320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432048"/>
              <wp:effectExtent l="0" t="0" r="0" b="0"/>
              <wp:docPr id="1" name="IMG_dabf778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3105841458-7c4a23e5.jpg"/>
                      <pic:cNvPicPr/>
                    </pic:nvPicPr>
                    <pic:blipFill>
                      <a:blip xmlns:r="http://schemas.openxmlformats.org/officeDocument/2006/relationships" r:embed="R952d7d118d284d0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4320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432048"/>
              <wp:effectExtent l="0" t="0" r="0" b="0"/>
              <wp:docPr id="1" name="IMG_19557d2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3105930436-f73d0208.jpg"/>
                      <pic:cNvPicPr/>
                    </pic:nvPicPr>
                    <pic:blipFill>
                      <a:blip xmlns:r="http://schemas.openxmlformats.org/officeDocument/2006/relationships" r:embed="R5d3c815468154e5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4320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6c90ef4437be4e92" /><Relationship Type="http://schemas.openxmlformats.org/officeDocument/2006/relationships/image" Target="/media/image2.bin" Id="Rc9042981e5bf4ef5" /><Relationship Type="http://schemas.openxmlformats.org/officeDocument/2006/relationships/image" Target="/media/image3.bin" Id="Rcc97896766654a67" /><Relationship Type="http://schemas.openxmlformats.org/officeDocument/2006/relationships/image" Target="/media/image4.bin" Id="R952d7d118d284d08" /><Relationship Type="http://schemas.openxmlformats.org/officeDocument/2006/relationships/image" Target="/media/image5.bin" Id="R5d3c815468154e5a" /></Relationships>
</file>