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33e409d9c4b4f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【115學年度新任二級主管介紹】國際暨兩岸事務處 國際暨兩岸交流組組長 顏秀鳳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最高學歷：淡江大學管理科學研究所博士
</w:t>
          <w:br/>
          <w:t>重要經歷：淡江大學國際處交流組專員
</w:t>
          <w:br/>
          <w:t>未來願景及規畫：國際處交流組願景聚焦「深化雙邊交流」與「強化境外招生」。未來將積極拓展歐美及東南亞姊妹校與營隊合約，助學生出國交流。同時用心接待來訪境外中學，透過多語宣傳精準招生，並持續爭取教育部經費，全面提升淡江國際影響力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8640" cy="6096000"/>
              <wp:effectExtent l="0" t="0" r="0" b="0"/>
              <wp:docPr id="1" name="IMG_a1eada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323e7de8-ffcc-4f65-94b5-22e37398baa8.jpg"/>
                      <pic:cNvPicPr/>
                    </pic:nvPicPr>
                    <pic:blipFill>
                      <a:blip xmlns:r="http://schemas.openxmlformats.org/officeDocument/2006/relationships" r:embed="Rc82215b93b984327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8640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c82215b93b984327" /></Relationships>
</file>