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bd40e820ff497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1258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新聘教師教學工作坊 解題AI應用與學生需求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學校要聞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林品瑜淡水校園報導】淡江大學教師教學發展中心9月8日上午9時，在I201舉辦「115學年度新聘教師教學工作坊」，約35位新聘教師參與。教務長楊立人致詞時指出，當前高等教育正面臨AI革命與新世代學生學習樣貌改變的挑戰，因此學校積極推廣AI教學，引導學生負責任地使用AI學習與解決問題；教師也應站在學生角度思考、聆聽需求，以學生能理解、接受的方式教學，提升學習動機。
</w:t>
          <w:br/>
          <w:t>教育科技學系教授李世忠以「教學基本功」為題，從聲音的抑揚頓挫、師生問答討論方式、大班實作教學等面向提供建議，勉勵新聘教師「看見學生成長、超越自己，是教學最大的成就感」；經濟學系教授林彥伶以「大學，你想怎麼教？」為題，強調教學應以學生為中心，她現場透過拼圖法進行分組，並搭配便利貼實作，讓教師在互動交流中學習多元教學法；「用科技、助教學」由臺北市立大學學習與媒材設計學系教授王怡萱，介紹數位與AI科技融入課堂前、中、後階段的應用方式，透過互動工具、AI教材製作及多元評量，增進師生互動；企業管理學系教授涂敏芬則從「課程設計的設計思考系統觀」切入，介紹設計思考思維，協助教師將其融入課程設計、重組課程流程，優化學生修課體驗與學習成效。
</w:t>
          <w:br/>
          <w:t>分組跑關安排三門課程，分別在I201、I301、I601進行。涂敏芬「知行煥新校準課設大綱2.0版」運用16個工作模組卡牌，透過排序與聯想，梳理課程核心與學習重點，發想課程設計方向；林彥伶「遊戲式的教與學」以撲克牌遊戲模擬市場型態與分組接力記憶名詞，讓教師體驗遊戲融入教學；王怡萱「科技輔助教學工具體驗」則分享多項實用教學工具，示範影音操作與教學素材製作。上午及下午課程結束後皆安排實作，由新聘教師挑選一門自身授課的課程，依據本校16+2週學制與放假排程，結合教學實踐研究計畫等個人教學目標進行規劃，並考量課程領域、利害關係人等面向調整教學設計。成果發表則以1分鐘介紹課程目標與理念，藉由觀摩不同院系的教學計畫表，交流多元教學方式。
</w:t>
          <w:br/>
          <w:t>在分享與回饋環節中，王怡萱建議教師從學生角度思考，回想自身求學經驗理解學生反應，並於開學第一週發放線上調查表單，了解學生特質與學習程度。「行動中發現，模糊中前進。」涂敏芬表示，課程即使期初規劃完善，教學過程仍需持續調整。她建議可從課程困難點中，擬定十種銜接設計方法，作為日後課程活動的參考。
</w:t>
          <w:br/>
          <w:t>運輸管理學系助理教授樓軒宇認為，遊戲化課程體驗十分有趣，也從課程實務中認識到許多可運用於大班教學的技巧，並透過與其他教師交流，了解不同階段學生的學習程度，未來將據此調整課程內容。大眾傳播學系助理教授陳恩誠認為，過去編寫課程大綱多依照「想帶給學生什麼」的想法設計，本次則學到具概念化的架構，了解如何將體驗式或專案式學習融入課程，建立更清楚、結構化的課程計畫表。人工智慧學系助理教授蕭兆翔分享，自己已在淡江任教一段時間，即便期中、期末教學意見調查皆獲得接近滿分，學生在課堂上仍時常反應冷淡。透過本次工作坊，他學習許多與學生互動的方法，也將規劃把王怡萱所介紹的Nearpod遊戲與測驗工具融入課程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2737104"/>
              <wp:effectExtent l="0" t="0" r="0" b="0"/>
              <wp:docPr id="1" name="IMG_0ba8752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fb69d072-cb6a-4eb2-a528-87f2d2165ab4.jpg"/>
                      <pic:cNvPicPr/>
                    </pic:nvPicPr>
                    <pic:blipFill>
                      <a:blip xmlns:r="http://schemas.openxmlformats.org/officeDocument/2006/relationships" r:embed="R453ef90b8c4a48c7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27371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582331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18d1d3eb-9681-4672-a80b-8395dcfed2fe.JPG"/>
                      <pic:cNvPicPr/>
                    </pic:nvPicPr>
                    <pic:blipFill>
                      <a:blip xmlns:r="http://schemas.openxmlformats.org/officeDocument/2006/relationships" r:embed="Rbce74d32b08f44cd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651504"/>
              <wp:effectExtent l="0" t="0" r="0" b="0"/>
              <wp:docPr id="1" name="IMG_113588f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862efd4c-b8e7-4f4b-b32f-dbcfd4d45e7b.jpg"/>
                      <pic:cNvPicPr/>
                    </pic:nvPicPr>
                    <pic:blipFill>
                      <a:blip xmlns:r="http://schemas.openxmlformats.org/officeDocument/2006/relationships" r:embed="Rb3f0361c4a734b8a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65150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066032"/>
              <wp:effectExtent l="0" t="0" r="0" b="0"/>
              <wp:docPr id="1" name="IMG_91e1a3b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f1641041-cad0-4763-b987-5e601fa5a152.jpg"/>
                      <pic:cNvPicPr/>
                    </pic:nvPicPr>
                    <pic:blipFill>
                      <a:blip xmlns:r="http://schemas.openxmlformats.org/officeDocument/2006/relationships" r:embed="R2a2a73406b4a4510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06603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572000"/>
              <wp:effectExtent l="0" t="0" r="0" b="0"/>
              <wp:docPr id="1" name="IMG_eb44f39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9/m\8f2e387e-c4bb-4291-9201-3848f38f3616.JPG"/>
                      <pic:cNvPicPr/>
                    </pic:nvPicPr>
                    <pic:blipFill>
                      <a:blip xmlns:r="http://schemas.openxmlformats.org/officeDocument/2006/relationships" r:embed="R28cf638ecc974172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572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453ef90b8c4a48c7" /><Relationship Type="http://schemas.openxmlformats.org/officeDocument/2006/relationships/image" Target="/media/image2.bin" Id="Rbce74d32b08f44cd" /><Relationship Type="http://schemas.openxmlformats.org/officeDocument/2006/relationships/image" Target="/media/image3.bin" Id="Rb3f0361c4a734b8a" /><Relationship Type="http://schemas.openxmlformats.org/officeDocument/2006/relationships/image" Target="/media/image4.bin" Id="R2a2a73406b4a4510" /><Relationship Type="http://schemas.openxmlformats.org/officeDocument/2006/relationships/image" Target="/media/image5.bin" Id="R28cf638ecc974172" /></Relationships>
</file>