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d129bf17e468c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淡江大學登頂新紀錄 大學部日間學制新生註冊率連續三年突破101%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如同知名建築臺北101持續吸引國際目光，淡江大學在少子女化衝擊全台高教市場之際，115學年度大學部日間學制新生註冊率已達到101.36%，逆勢達成連續三年突破101%的卓越紀錄。這樣的成果不僅展現學生與家長對辦學績效的高度肯定，更確立了淡江大學在國內綜合大學中，新生總數獨占鰲頭的傲人成果。
</w:t>
          <w:br/>
          <w:t>　校長許輝煌表示，面對嚴峻的生源考驗，淡江能夠逆勢成長，歸功於全校教職員生的共同努力與前瞻佈局。具有資工專業背景與豐富學術治理經驗的他，強調淡江近年積極落實「AI+SDGs=∞」的校務發展願景，將人工智慧應用與永續發展（SDGs）深度整合於全校課程、研究與校園治理中。
</w:t>
          <w:br/>
          <w:t>　許校長引用黃仁勳「Run, don't walk」的金句指出，面對新世代學生學習型態的轉變與跨領域技術的崛起，學校唯有快速改變、集思廣益，才能持續提升競爭力。未來淡江將本著創新精神加速推動「AI落地」與產學合作，透過完善的跨領域彈性學制與微學分課程，以及與台灣微軟、遠傳電信、NVIDIA、AMD等國內外科技大廠的產學合作，不斷提升教學品質與學生畢業競爭力，讓每一位淡江學子都能站上高教的「觀景台」，擁抱國際級的視野與即戰力。
</w:t>
          <w:br/>
          <w:t>　除了教學創新與前瞻科研思維，本校在就業市場的強大競爭力，更是吸引新生的關鍵。已連續29年在《Cheers雜誌》穩坐「企業最愛大學生」調查私校第一，加上遍佈全球各行各業逾34萬名校友，構成了淡江最扎實的結構鋼骨，為學弟妹提供源源不絕的資源與支持。
</w:t>
          <w:br/>
          <w:t>　許校長展望未來，淡江大學將持續深化「國際化、資訊化、未來化」的三化辦學理念，期許在全體教職員生的共同努力下，攜手產業與廣大校友鏈結資源，以永續創新為核心動力，迎向下一個卓越里程碑。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aae282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18090707504-8c89a4af.jpg"/>
                      <pic:cNvPicPr/>
                    </pic:nvPicPr>
                    <pic:blipFill>
                      <a:blip xmlns:r="http://schemas.openxmlformats.org/officeDocument/2006/relationships" r:embed="R67a557647385439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67a5576473854395" /></Relationships>
</file>