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493c1c3264d16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1260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美國加州州大長堤分校來訪 研議4+1雙聯學碩合作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【記者阮明英淡水校園報導】美國加州州立大學長堤分校（California State University, Long Beach, CSULB）代表，9月22日下午2時，在教育部國際及兩岸教育司三等教育秘書Mr. Marc Tsou陪同下，蒞臨淡江大學淡水校園進行交流座談，就教學合作與學術研究等議題交換意見，會中達成規劃推動「4+1雙聯學碩」與學生交流互訪機制的共識，後續將由國際暨兩岸事務處與相關學院持續研議合作細節。
</w:t>
          <w:br/>
          <w:t>長堤分校訪問團成員，包括學術副校長兼教務長Dr. Karyn Scissum Gunn與多位學院院長，由國際暨兩岸事務處接待。座談前，長堤分校代表團在葉劍木帶領下參訪校史館與AI創智學院實境場域，了解本校發展歷程及AI教學現況與應用；座談結束後，雙方於QP Terrace覺軒會館共進晚宴。
</w:t>
          <w:br/>
          <w:t>交流座談於守謙國際會議中心HC405進行，本校學術副校長薛宏中、國際事務副校長包正豪、理學院院長陳耀鴻、工學院院長張麗秋、研發長潘伯申、國際長葉劍木出席參與。長堤分校首先介紹該校為卡內基R2級研究型公立大學，擁有逾4萬名學生，辦學策略以學生為核心，致力透過跨領域研究、交換學習，以及與波音公司、醫療體系與在地影視娛樂產業合作提供實習機會，全方位強化學生的全球競爭力。本校則介紹人工智慧創新應用、同步輻射技術研究團隊，以及航空太空學系太空科技實驗室團隊5度成功發射科研火箭等發展成果，盼透過雙方交流，拓展教學與研究合作。
</w:t>
          <w:br/>
          <w:t>在學生交流方面，本校分享近年臺灣學生赴國外留學的趨勢，說明受歐洲與澳洲學程競爭影響，赴美交換人數約減少一半。為提升學生赴美學習的吸引力，雙方進一步討論「4+1雙聯學碩」的可行性，規劃藉由學分雙向認列機制，讓淡江大四學生提前銜接修讀碩士學分，縮短修業年限、減輕留學負擔，並結合當地產業資源，增加實習機會。
</w:t>
          <w:br/>
          <w:t>美國加州州立大學長堤分校1949年9月28日成立，前身為洛杉磯橘郡州立學院（Los Angeles-Orange County State College），1960年代升格為大學，成為加州州立大學系統的一員。現為大型都市型綜合大學，設有學士班及研究所等多元學位課程，重視教學與研究。與本校於1998年簽訂姊妹校協議，近年持續推動大三出國與交換學生等交流計畫。
</w:t>
          <w:br/>
          <w:t>【FAQ】
</w:t>
          <w:br/>
          <w:t>▌Q：什麼是卡內基R2級研究型大學？
</w:t>
          <w:br/>
          <w:t>A：卡內基高等教育機構分類（Carnegie Classification）是美國高等教育機構的分類系統，「R2」代表具有高度研究活動等級的研究型大學，主要依據學校研發支出及博士學位授予數量進行分類。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657600"/>
              <wp:effectExtent l="0" t="0" r="0" b="0"/>
              <wp:docPr id="1" name="IMG_97cecae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70d8566-c451-4192-aacc-f7d1a0432abc.jpg"/>
                      <pic:cNvPicPr/>
                    </pic:nvPicPr>
                    <pic:blipFill>
                      <a:blip xmlns:r="http://schemas.openxmlformats.org/officeDocument/2006/relationships" r:embed="R623eb098e5e24c3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65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01568"/>
              <wp:effectExtent l="0" t="0" r="0" b="0"/>
              <wp:docPr id="1" name="IMG_70515ed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e9471ca6-8eab-499b-96d6-ce0e8723c115.JPG"/>
                      <pic:cNvPicPr/>
                    </pic:nvPicPr>
                    <pic:blipFill>
                      <a:blip xmlns:r="http://schemas.openxmlformats.org/officeDocument/2006/relationships" r:embed="R8415b66f76ed4b4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015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48e4eb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60e4f1c7-0894-48c7-83cb-25c60348bba4.jpg"/>
                      <pic:cNvPicPr/>
                    </pic:nvPicPr>
                    <pic:blipFill>
                      <a:blip xmlns:r="http://schemas.openxmlformats.org/officeDocument/2006/relationships" r:embed="R6a95ae0f897b4c7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810000"/>
              <wp:effectExtent l="0" t="0" r="0" b="0"/>
              <wp:docPr id="1" name="IMG_2f720e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e4bbe359-f745-408e-9702-6db68f33c638.jpg"/>
                      <pic:cNvPicPr/>
                    </pic:nvPicPr>
                    <pic:blipFill>
                      <a:blip xmlns:r="http://schemas.openxmlformats.org/officeDocument/2006/relationships" r:embed="R158f4137962747a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81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23eb098e5e24c3e" /><Relationship Type="http://schemas.openxmlformats.org/officeDocument/2006/relationships/image" Target="/media/image2.bin" Id="R8415b66f76ed4b4c" /><Relationship Type="http://schemas.openxmlformats.org/officeDocument/2006/relationships/image" Target="/media/image3.bin" Id="R6a95ae0f897b4c77" /><Relationship Type="http://schemas.openxmlformats.org/officeDocument/2006/relationships/image" Target="/media/image4.bin" Id="R158f4137962747a8" /></Relationships>
</file>