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1e719b181e4816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1264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淡江大學26教師入榜2026全球前2％頂尖科學家 9人榮登雙榜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【賴映秀淡水校園報導】根據由美國史丹佛大學10月7日所公布的2026年「全球前2％頂尖科學家」（World's Top 2% Scientists）榜單，本校共有26位教師入榜，其中23人入選「1960-2025終身科學影響力排行榜」、12人入選「2026年度科學影響力排行榜」，9人同時躋身雙榜（詳細名單詳下表）。
</w:t>
          <w:br/>
          <w:t>本次榜單以Scopus摘要與引文資料庫為主要數據來源，涵蓋22個主學科、174個子學科，分別評估學者長期累積及年度研究的引用影響力。觀察近3年入榜情形，2024年本校有24人入選終身榜、13人入選年度榜，扣除重複入榜者，合計29人；2025年兩榜分別為24人及13人，合計28人；2026年則為23人及12人，合計26人。終身榜人數略減，年度榜維持穩定，同時入選雙榜的人數則由2024年的8人，增加至2025及2026年的9人。
</w:t>
          <w:br/>
          <w:t>從個別學者表現觀察，躋身雙榜的9位教師，長期累積與近期研究的引用影響力，成為長青樹。管理科學學系特聘教授廖述賢、土木工程學系教授葉怡成自2019年發布榜單起，8年來雄踞雙榜；水資源及環境工程學系教授張麗秋、化學學系特聘教授王三郎、以及國際企業學系教授孫嘉祈，則自發布第二年起連續7年長紅；應用數學與數據科學系特聘研究講座教授郭忠勝、建築學系教授姚忠達亦有6次雙榜紀錄。
</w:t>
          <w:br/>
          <w:t>年度榜方面，管理科學學系退休教授時序時連續７年入榜，物理學系教授董崇禮連續3年入選，顯示其研究持續受到引用。財務金融學系副教授黃健銘則是2026年榜單的新入選學者，呈現本校在不同學科領域的研究影響力。
</w:t>
          <w:br/>
          <w:t>本次排名資料擷取時間為2026年8月1日，統計數據時間範圍為1960–2025年，整體學科領域涵蓋範圍分成應用科學、健康科學、自然科學、經濟與社會科學、人文與藝術等五大領域。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32048"/>
              <wp:effectExtent l="0" t="0" r="0" b="0"/>
              <wp:docPr id="1" name="IMG_0585fc0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2dba679c-03df-48e6-8604-9e41e6eecd3b.jpg"/>
                      <pic:cNvPicPr/>
                    </pic:nvPicPr>
                    <pic:blipFill>
                      <a:blip xmlns:r="http://schemas.openxmlformats.org/officeDocument/2006/relationships" r:embed="R4c1b9d8620e848b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3204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498848" cy="6096000"/>
              <wp:effectExtent l="0" t="0" r="0" b="0"/>
              <wp:docPr id="1" name="IMG_bb596aa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05ff54da-c664-402f-b06c-1784869dbe57.jpg"/>
                      <pic:cNvPicPr/>
                    </pic:nvPicPr>
                    <pic:blipFill>
                      <a:blip xmlns:r="http://schemas.openxmlformats.org/officeDocument/2006/relationships" r:embed="R07169eafeef94553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498848" cy="609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5663184"/>
              <wp:effectExtent l="0" t="0" r="0" b="0"/>
              <wp:docPr id="1" name="IMG_c140238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20befad3-1d42-4874-81a9-522c099984bb.jpg"/>
                      <pic:cNvPicPr/>
                    </pic:nvPicPr>
                    <pic:blipFill>
                      <a:blip xmlns:r="http://schemas.openxmlformats.org/officeDocument/2006/relationships" r:embed="Rc83642ceca3b42cd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566318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4c1b9d8620e848b7" /><Relationship Type="http://schemas.openxmlformats.org/officeDocument/2006/relationships/image" Target="/media/image2.bin" Id="R07169eafeef94553" /><Relationship Type="http://schemas.openxmlformats.org/officeDocument/2006/relationships/image" Target="/media/image3.bin" Id="Rc83642ceca3b42cd" /></Relationships>
</file>