
<file path=[Content_Types].xml><?xml version="1.0" encoding="utf-8"?>
<Types xmlns="http://schemas.openxmlformats.org/package/2006/content-types">
  <Default Extension="xml" ContentType="application/vnd.openxmlformats-officedocument.wordprocessingml.document.main+xml"/>
  <Default Extension="bin" ContentType="image/jpe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6d63e508411146ad" /></Relationships>
</file>

<file path=word/document.xml><?xml version="1.0" encoding="utf-8"?>
<w:document xmlns:w="http://schemas.openxmlformats.org/wordprocessingml/2006/main">
  <w:body>
    <w:p>
      <w:pPr>
        <w:jc w:val="right"/>
      </w:pPr>
      <w:r>
        <w:r>
          <w:rPr>
            <w:rFonts w:ascii="Segoe UI" w:hAnsi="Segoe UI" w:eastAsia="Segoe UI"/>
            <w:sz w:val="28"/>
            <w:color w:val="FF0000"/>
          </w:rPr>
          <w:t>淡江時報 第 1264 期</w:t>
        </w:r>
      </w:r>
    </w:p>
    <w:p>
      <w:pPr>
        <w:jc w:val="center"/>
      </w:pPr>
      <w:r>
        <w:r>
          <w:rPr>
            <w:rFonts w:ascii="Segoe UI" w:hAnsi="Segoe UI" w:eastAsia="Segoe UI"/>
            <w:sz w:val="32"/>
            <w:color w:val="000000"/>
            <w:b/>
          </w:rPr>
          <w:t>結合新南向推動經驗 許校長談淡江跨國合作與招生願景</w:t>
        </w:r>
      </w:r>
    </w:p>
    <w:p>
      <w:pPr>
        <w:jc w:val="right"/>
      </w:pPr>
      <w:r>
        <w:r>
          <w:rPr>
            <w:rFonts w:ascii="Segoe UI" w:hAnsi="Segoe UI" w:eastAsia="Segoe UI"/>
            <w:sz w:val="28"/>
            <w:color w:val="888888"/>
            <w:b/>
          </w:rPr>
          <w:t>即時</w:t>
        </w:r>
      </w:r>
    </w:p>
    <w:p>
      <w:pPr>
        <w:jc w:val="left"/>
      </w:pPr>
      <w:r>
        <w:r>
          <w:rPr>
            <w:rFonts w:ascii="Segoe UI" w:hAnsi="Segoe UI" w:eastAsia="Segoe UI"/>
            <w:sz w:val="28"/>
            <w:color w:val="000000"/>
          </w:rPr>
          <w:t>【潘劭愷淡水校園報導】政府推動新南向政策邁入十週年，曾任駐越南科技組組長的校長許輝煌，10月22日接受國科會補助新南向計畫專案辦公室採訪、分享任內深耕東南亞的實務經驗。許校長指出科技外交與雙向人才培育是深化臺灣與東南亞國家合作的關鍵，尤其在面對少子化挑戰與產業國際布局，臺灣應透過健全的校務制度與政策誘因，將個人學術熱忱轉化為永續的跨國合作機制，為臺灣與新南向夥伴國家創造雙贏。
</w:t>
          <w:br/>
          <w:t>許校長於2019年3月至2022年7月借調擔任駐越南台北經濟文化辦事處科技組組長，管轄範圍涵蓋越南、寮國、柬埔寨、泰國、緬甸及菲律賓等東南亞6國。他指出，國科會全球18個駐外科技組中，駐越南科技組定位極為特殊，主打以臺灣的科技實力協助區域發展，透過科技這個「最真誠的外交語言」建立跨國信任與友誼。
</w:t>
          <w:br/>
          <w:t>儘管任期內經歷兩年半的嚴峻疫情，許校長仍深入越南40多個省份拜訪產官學研機構，讓臺越雙邊科技合作計畫申請案從2019年的12件，顯著成長至2021年的30件，展現極佳的交流成效。身為人工智慧（AI）專家與中華民國人工智慧學會前理事長，他也積極分享臺灣AI推動經驗，不僅受邀於越南「AI日」發表演講，更促成國立清華大學人工智慧製造系統研究中心赴越訪問，並在智慧農業、防災及水資源等實質領域深化合作。
</w:t>
          <w:br/>
          <w:t>人才培育方面，許校長強調臺灣政策已出現重大轉變。早期外國留學生畢業後留臺工作限制嚴格，近年面對少子化與人才短缺，政府積極推動「攬才與留才」政策，不僅補足臺灣產業人力，更可為臺灣企業向東南亞擴展（如半導體產業海外布局）提供即戰力外派幹部。
</w:t>
          <w:br/>
          <w:t>許校長特別鼓勵臺灣青年，打破優先赴歐美日等先進國家學習的傳統思維，勇於前往東南亞進行學習與實習。他以淡江大學為例，校內教師透過帶領學生深入柬埔寨偏鄉服務、協助馬來西亞街童教育，或前往印尼進行實地教育考察，顯著協助拓寬了學生的國際視野。
</w:t>
          <w:br/>
          <w:t>針對大學國際化發展，許校長表示淡江大學目前擁有1,400多位境外生，以印尼學生人數最多，越南及馬來西亞次之。校方未來規劃將越南生自目前的200人提升至400至500人以上，並將泰國、緬甸與印度列為重點拓展目標。
</w:t>
          <w:br/>
          <w:t>在學術合作上，他舉化學系特聘教授王三郎教授為例，與越南西原大學長達10餘年的合作、共同培育多位博士生並發表上百篇國際期刊論文。認為學者個人的熱忱至關重要，但若要避免合作因學者退休而中斷，必須依賴學校提供資源、獎勵誘因與健全制度，才能讓雙邊科研與學術交流可長可久、邁向下一個黃金十年。</w:t>
          <w:br/>
        </w:r>
      </w:r>
    </w:p>
    <w:p>
      <w:pPr>
        <w:jc w:val="center"/>
      </w:pPr>
      <w:r>
        <w:r>
          <w:drawing>
            <wp:inline xmlns:wp14="http://schemas.microsoft.com/office/word/2010/wordprocessingDrawing" xmlns:wp="http://schemas.openxmlformats.org/drawingml/2006/wordprocessingDrawing" distT="0" distB="0" distL="0" distR="0" wp14:editId="50D07946">
              <wp:extent cx="6096000" cy="4303776"/>
              <wp:effectExtent l="0" t="0" r="0" b="0"/>
              <wp:docPr id="1" name="IMG_ed4556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ome\site\wwwroot\wwwroot/Photos/2026-10/m\20261030063540637-64b5d673.jpg"/>
                      <pic:cNvPicPr/>
                    </pic:nvPicPr>
                    <pic:blipFill>
                      <a:blip xmlns:r="http://schemas.openxmlformats.org/officeDocument/2006/relationships" r:embed="Re9d176207da9463f" cstate="print">
                        <a:extLst>
                          <a:ext uri="{28A0092B-C50C-407E-A947-70E740481C1C}"/>
                        </a:extLst>
                      </a:blip>
                      <a:stretch>
                        <a:fillRect/>
                      </a:stretch>
                    </pic:blipFill>
                    <pic:spPr>
                      <a:xfrm>
                        <a:off x="0" y="0"/>
                        <a:ext cx="6096000" cy="4303776"/>
                      </a:xfrm>
                      <a:prstGeom prst="rect">
                        <a:avLst/>
                      </a:prstGeom>
                    </pic:spPr>
                  </pic:pic>
                </a:graphicData>
              </a:graphic>
            </wp:inline>
          </w:drawing>
        </w:r>
      </w:r>
    </w:p>
  </w:body>
</w:document>
</file>

<file path=word/_rels/document.xml.rels>&#65279;<?xml version="1.0" encoding="utf-8"?><Relationships xmlns="http://schemas.openxmlformats.org/package/2006/relationships"><Relationship Type="http://schemas.openxmlformats.org/officeDocument/2006/relationships/image" Target="/media/image.bin" Id="Re9d176207da9463f" /></Relationships>
</file>