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fc982794c4830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1264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回歸AI變局中的教育本質！教學與行政革新研討會攜手共創校務新局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潘劭愷淡水校園報導】115學年度教學與行政革新研討會，10月31日上午9時在守謙國際會議中心有蓮廳舉行，主題為「邁向未來大學：從AI變局到校務新局」。校長許輝煌、董事長張家宜、3位副校長與一、二級單位主管、秘書、教師等近300人參與。
</w:t>
          <w:br/>
          <w:t>　張董事長致詞時指出，本校每年的教學與行政研討會，在於教職同仁透過討論建立發展方向的組織共識。她引用UNESCO、OECD及MIT等國際重要組織與知名大學對AI教育政策的定義，說明全世界正致力於推動以人為本、兼顧倫理公平與數位永續的AI教育體系。張董事長強調，教育不應以過去的方法剝奪學生的未來，呼籲全校教職員將AI融入教學與行政工作，發揮未來學精神，共同創造並塑造學校可預期且共享的理想未來。
</w:t>
          <w:br/>
          <w:t>　許校長則結合自身30年的AI研究背景，指出當前AI已從技術革新邁向打破傳統秩序的新階段。他從Google程式碼生成高比例、OpenAI破解數學難題及AI式短劇等實例，強調科技正在深刻地重塑知識生產與產業形態。並開始思考大學在程式、數學與影音教學上導入AI工具的必要性，希望行政與教學團隊藉由本次的研討，進行廣泛的交流與討論，協助順利跟上轉型趨勢並積極推動，維持競爭力並促進校務轉型。
</w:t>
          <w:br/>
          <w:t>　專題演講首場由國家教育研究院院長林從一，以「AI變局中的大學新局」為題，探討AI浪潮下高等教育與智慧醫療的轉型與挑戰。他認為教育的核心旨在培育具有獨立思想軸線的「知識公民」，然而AI容易引發智力外包、人性消退以及喪失直接體驗世界等三大危機。以智慧醫療防範 AI 幻覺與推動超高齡社會的數位平權為例，林從一強調科技應回歸人文關懷，因此，高等教育應從傳統的職涯導向回歸協助「生命發展」，並透過「把學習帶入AI」引導學生思辨與論證，讓科技成為連結人際與人文價值的隱形線。
</w:t>
          <w:br/>
          <w:t>第二場由許校長以「淡江的下一步：傳承核心價值，深化三大布局」為題，探討本校在AI變局與少子化浪潮下的轉型策略。許校長指出，在AI時代知識不再稀缺，「價值判斷」與「批判思考」成為關鍵，大學應將學生重塑為人機協作的指揮者、教師轉為學習設計者，並推動數據驅動的智慧治理。為因應生源下滑的挑戰，學校奠基於「AI+SDGs=∞」的核心，將深化教學、治理與國際三大布局：包含調整評量與學習歷程、簡化跨單位行政流程與數據決策，以及精準布局境外生源市場並完善留學支持系統。最終回歸「把學生教好」的教育本質，打造人機共學與個人化的未來大學場域。
</w:t>
          <w:br/>
          <w:t>分組討論由三位副校長主持，並分別報告討論結果。學術副校長薛宏中就「學生變了，大學怎麼教？―新世代學習型態下的人才培育與教學轉變」方面，指出面對AI工具普及與少子化挑戰，大學的培育核心已從單向知識傳授轉為人機協作，強調提升學生問題定義、批判思考與專業判斷等AI難以取代的能力。在教學上推動「AI＋專業」模組化課程與專題實作，重構評量機制，從只看最終答案轉向重視提示詞歷程、口頭答辯與現場實作等歷程導向評量。同時藉由真實情境與職涯連結驅動自主學習動機，結合PDCA品質循環機制促進教學持續改善。最後形塑「淡江AI五go力」，期許學生在AI時代兼具工具應用與認知主權，回歸以人為本的教育價值。   
</w:t>
          <w:br/>
          <w:t>行政副校長紀慧君在「AI應用深化後，學校怎麼運作？―跨單位流程、校務決策與行政人才」方面，綜合各單位的意見，與同仁研討AI深度融入後的校務運作，凝聚五大核心共識。在工作流程優化上，同仁們期盼推動「一次性填報」與關鍵數據的共享，由AI負責例行預審，最終決策與例外狀況由同仁專業判斷，決策責任不因使用AI而轉移。校務決策方面，AI善於處理大量數據與異常預警，但同仁們也一致認同數據不等於事實，核心價值與學生關懷仍須以人為主導。因應世代交替，期盼建置分層行政知識庫，將資深人員的隱性知識與例外案例「外化」留存，讓釋出的人力轉向跨單位協調與服務。盼在同仁期待下將共識落成行動，成就更多的學生，成就更好的大學。
</w:t>
          <w:br/>
          <w:t>國際事務副校長包正豪針對「生源競爭加劇，學校如何吸引並留住國際人才？―境外招生布局與國際人才競爭力」方面，學校在境外招生應採市場分級策略，以印尼、越南為核心，結合「市場×學系×招生路徑」，集中資源於具明確成果與成長潛力的計畫。其次將國際化資源轉化為競爭優勢，透過重新梳理全英學制、華語教育與校友網絡，塑造明確的職涯價值主張，並優化三級數位招生入口。最重要的，應以「留得住」為永續招生核心，透過提升全英教學品質、改善行政服務與職涯銜接，優化學生整體經驗。同時建立數據追蹤機制，以學習與註冊資料支持決策，打造可持續發展的口碑招生循環。
</w:t>
          <w:br/>
          <w:t>綜合座談由許校長主持，會中商管學院院長許超澤、資傳系系主任林俊賢分別提出AI融入教學與學習所需的經費需求、養成「知識公民」的課程規劃、指引學生如何學習使用AI、電腦教室的需求等問題，由許校長一一回復。
</w:t>
          <w:br/>
          <w:t>許校長在閉幕致詞中指出，除了AI衝擊，學校同時還面臨少子化、行政同仁人才斷層、以及新世代學習型態改變等多重挑戰，推動變革刻不容緩，更宣布將賦予主管更多權責，希望各單位共同規劃未來一年的具體工作目標。最後強調高等教育的核心價值在於培育人才，只要從工作中找到使命感與意義感，就能將壓力轉化為動力，期許全校齊心協力，共同成就學生，打造更卓越的淡江大學。
</w:t>
          <w:br/>
          <w:t>張董事長除讚揚3位副校長的事前充足準備，讓分組討論的流程更為順暢、簡報呈現更完整，進一步強調研討會的核心價值，在於會後細節的整合與落實。其次肯定本校在前任葛校長的領航下，將AI與永續列為雙軌發展重點，為校務發展奠定了扎實基礎，也相信同為資工專長的許校長能持續發揚光大。最後張董事長重申不可盲目依賴AI工具，因為「人類的專業判斷才是核心」。學校將挹注經費與人力資源，輔助AI工具的應用，盼教職同仁齊心深化未來教學與校務發展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791712"/>
              <wp:effectExtent l="0" t="0" r="0" b="0"/>
              <wp:docPr id="1" name="IMG_287752d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31104436748-b51e648b.jpg"/>
                      <pic:cNvPicPr/>
                    </pic:nvPicPr>
                    <pic:blipFill>
                      <a:blip xmlns:r="http://schemas.openxmlformats.org/officeDocument/2006/relationships" r:embed="R4da807e15d6246c6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79171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96512"/>
              <wp:effectExtent l="0" t="0" r="0" b="0"/>
              <wp:docPr id="1" name="IMG_71a4da8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31104644587-e3ae603d.jpg"/>
                      <pic:cNvPicPr/>
                    </pic:nvPicPr>
                    <pic:blipFill>
                      <a:blip xmlns:r="http://schemas.openxmlformats.org/officeDocument/2006/relationships" r:embed="Rfcee7c558c09414c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9651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163568"/>
              <wp:effectExtent l="0" t="0" r="0" b="0"/>
              <wp:docPr id="1" name="IMG_2ae1307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31104749493-62c2903a.jpg"/>
                      <pic:cNvPicPr/>
                    </pic:nvPicPr>
                    <pic:blipFill>
                      <a:blip xmlns:r="http://schemas.openxmlformats.org/officeDocument/2006/relationships" r:embed="R2d12d3c55d2f4297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16356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29328"/>
              <wp:effectExtent l="0" t="0" r="0" b="0"/>
              <wp:docPr id="1" name="IMG_979f629c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31104851131-a80dacae.jpg"/>
                      <pic:cNvPicPr/>
                    </pic:nvPicPr>
                    <pic:blipFill>
                      <a:blip xmlns:r="http://schemas.openxmlformats.org/officeDocument/2006/relationships" r:embed="R23a2aab592024dcf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2932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584448"/>
              <wp:effectExtent l="0" t="0" r="0" b="0"/>
              <wp:docPr id="1" name="IMG_c29014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31104938017-05d17c28.jpg"/>
                      <pic:cNvPicPr/>
                    </pic:nvPicPr>
                    <pic:blipFill>
                      <a:blip xmlns:r="http://schemas.openxmlformats.org/officeDocument/2006/relationships" r:embed="R2bb51eac2d0640ee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5844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120896"/>
              <wp:effectExtent l="0" t="0" r="0" b="0"/>
              <wp:docPr id="1" name="IMG_af2f568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31105032707-a9fc4b02.jpg"/>
                      <pic:cNvPicPr/>
                    </pic:nvPicPr>
                    <pic:blipFill>
                      <a:blip xmlns:r="http://schemas.openxmlformats.org/officeDocument/2006/relationships" r:embed="R56c62f7e7d934b60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1208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4da807e15d6246c6" /><Relationship Type="http://schemas.openxmlformats.org/officeDocument/2006/relationships/image" Target="/media/image2.bin" Id="Rfcee7c558c09414c" /><Relationship Type="http://schemas.openxmlformats.org/officeDocument/2006/relationships/image" Target="/media/image3.bin" Id="R2d12d3c55d2f4297" /><Relationship Type="http://schemas.openxmlformats.org/officeDocument/2006/relationships/image" Target="/media/image4.bin" Id="R23a2aab592024dcf" /><Relationship Type="http://schemas.openxmlformats.org/officeDocument/2006/relationships/image" Target="/media/image5.bin" Id="R2bb51eac2d0640ee" /><Relationship Type="http://schemas.openxmlformats.org/officeDocument/2006/relationships/image" Target="/media/image6.bin" Id="R56c62f7e7d934b60" /></Relationships>
</file>