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4a2bcbc4c45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從事新聞記者職務，必須能在新聞戰場裡衝鋒陷陣，因此，具備高感度的新聞敏銳度及社會責任，是必備條件。而在節目部，無論企畫或執行，需要的是反應靈敏、具多元化創意，以及製作電視節目的熱情。（年代電通董事長邱復生）</w:t>
          <w:br/>
        </w:r>
      </w:r>
    </w:p>
  </w:body>
</w:document>
</file>