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1cb16d7a14d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高柏園升任行政副校長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【本報訊】新學年新氣象，本校新增六個二級單位，另有行政副校長及二十五個一、二級單位換新主管，八月二日舉行交接佈達典禮，共三十三名新主管接下重任。
</w:t>
          <w:br/>
          <w:t>行政副校長由原文學院院長高柏園升任，他是文化大學哲學博士，曾任中文系主任、漢學研究中心主任，他表示將全力協助校長持續TQM全面品質管理的工作，使行政教學團隊共創更好的未來。
</w:t>
          <w:br/>
          <w:t>　本校新增六個單位為：管理學院統計調查研究中心，由統計系副教授溫博仕接主任一職；教育學院新增三個中心：通識與核心課程中心由謝朝鐘接任、高等教育研究與評鑑中心由楊瑩接任、遠距教學中心由郭經華接任；教務處教學科技組由黃維綱接任組長；學務處住宿輔導組由洪篤全接任組長，佈達儀式中由新校長張家宜一一頒發印信。
</w:t>
          <w:br/>
          <w:t>　接著進行新舊任主管交接儀式，共有行政副校長、四個一級單位、十六個教學單位和五個行政單位更換新主管（請見上表）。其中，國際研究學院三位卸任所長林立、陳一新、龔宜君皆在國外，委由院長魏萼代為移交，因此連他移交院長職務，總共上台五次，魏萼幽默地表示：「上台是機會，下台是智慧。」「來得好不如去得好，窗外依然一片藍天！」
</w:t>
          <w:br/>
          <w:t>　自稱「菜鳥」的新任工學院院長虞國興表示，感謝學校給予這個機會，他將以經營「水資源管理與政策研究中心」的成功經驗，提昇工學院的各項競爭力。自暨南大學來本校就任高教與評鑑中心主任楊瑩，表示心情是「戰戰兢兢」，交接典禮上看到大家充滿活力，她很高興參與這個大家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66672" cy="3919728"/>
              <wp:effectExtent l="0" t="0" r="0" b="0"/>
              <wp:docPr id="1" name="IMG_1a45d5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b4d8d95b-509c-4f2a-aaef-e84e187a0413.jpg"/>
                      <pic:cNvPicPr/>
                    </pic:nvPicPr>
                    <pic:blipFill>
                      <a:blip xmlns:r="http://schemas.openxmlformats.org/officeDocument/2006/relationships" r:embed="Ra0b3210d0c0a47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6672" cy="3919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b3210d0c0a47ac" /></Relationships>
</file>