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781a01107caf484c"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561 期</w:t>
        </w:r>
      </w:r>
    </w:p>
    <w:p>
      <w:pPr>
        <w:jc w:val="center"/>
      </w:pPr>
      <w:r>
        <w:r>
          <w:rPr>
            <w:rFonts w:ascii="Segoe UI" w:hAnsi="Segoe UI" w:eastAsia="Segoe UI"/>
            <w:sz w:val="32"/>
            <w:color w:val="000000"/>
            <w:b/>
          </w:rPr>
          <w:t>College of Education Deans Meeting: Nine Active Proposals Suggested; Integrative System of Universit</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Ex-minister of Education Wei-fan Kuo lectured at Tamkang last week. As Kuo pointed out, “Owing to the global competition and management-oriented tendency of higher education, Taiwan’s universities, especially normal universities, should emulate U.S.’s integrative educational system and develop into comprehensive universities, in order to integrate resources and enhance competitiveness.” 
</w:t>
          <w:br/>
          <w:t>
</w:t>
          <w:br/>
          <w:t>At I 301 Conference Room last Tuesday (10 February), Wei-fan Kuo lectured on the topic “A Functional Analysis of Integrative System of Universities: Looking for a Balance between Integration and Competition” in the meeting of deans from various colleges of education.  As he pointed out, in the face of the vicious expansion of Taiwan’s universities and the Ministry of Education’s incapability to promote the merge of universities, we should pay more attention to the quality control of higher education. 
</w:t>
          <w:br/>
          <w:t>
</w:t>
          <w:br/>
          <w:t>He further indicated that to overcome the limitations of development, normal universities and colleges should adopt “old-stores-reopening-strategy.”  On the other hand, common universities can start with strategic alliance, such as the integration of library resources, faculties, equipment/apparatuses, or united syllabi (cross-university selective courses, double degrees and Internet courses), or emulate U.S.’s multiple-campus university system, such as University of California, University of Texas, and New York University, and employ scholars with visions, communication competence and international perspectives to efficiently maintain high teaching quality and publicize universities’ fame.  “ Tsinghua, Chiaotung, and Yangming,” Kuo said, “have established inter-university alliance to enhance their edge in competition with Taiwan University.” 
</w:t>
          <w:br/>
          <w:t>
</w:t>
          <w:br/>
          <w:t>Nine deans of college of education took part in the meeting: Wu-tien Wu from Taiwan Normal University; Tai-chieh Chou from Changhua Normal University; Shen-chuan Lin from Kaoshiung Normal University; Chiao Oyang from Chinese Culture University; Sheng-keng Yang from Chungcheng University; Tung-ching Shong from Taidong University; Mong-chuin Chin from Chengchi University; Chao-yi Chen from Tzu Chi University; Po-chang Chen and Pin-huang Huang (the ex-dean) from Tamkang University.  Dean Kuei-jong Tsai (Chiayi University) was absent because of going abroad.  Vice President Flora C. I. Chang, as herself a professor in the College of Education, also participated in the meeting and exchanged opinions with other deans.  She thought positively about such a meeting and planned to advise other colleges to hold similar dean-level activities for mutual learning.</w:t>
          <w:br/>
        </w:r>
      </w:r>
    </w:p>
  </w:body>
</w:document>
</file>